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442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1EAF">
        <w:rPr>
          <w:rFonts w:ascii="Times New Roman" w:hAnsi="Times New Roman" w:cs="Times New Roman"/>
          <w:sz w:val="28"/>
          <w:szCs w:val="28"/>
        </w:rPr>
        <w:t xml:space="preserve">Информационное сообщение о сборе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по кандидатурам </w:t>
      </w:r>
    </w:p>
    <w:p w:rsidR="00AD2442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1EAF">
        <w:rPr>
          <w:rFonts w:ascii="Times New Roman" w:hAnsi="Times New Roman" w:cs="Times New Roman"/>
          <w:sz w:val="28"/>
          <w:szCs w:val="28"/>
        </w:rPr>
        <w:t xml:space="preserve">для дополнительного зачисления в резерв составов участковых избирательных комиссий, сформированных в Ямало-Ненецком автономном округе и участвующих в подготовке и проведении выборов </w:t>
      </w:r>
      <w:r>
        <w:rPr>
          <w:rFonts w:ascii="Times New Roman" w:hAnsi="Times New Roman" w:cs="Times New Roman"/>
          <w:sz w:val="28"/>
          <w:szCs w:val="28"/>
        </w:rPr>
        <w:t xml:space="preserve">Губернатора Тюменской области </w:t>
      </w:r>
      <w:r w:rsidRPr="00521EAF">
        <w:rPr>
          <w:rFonts w:ascii="Times New Roman" w:hAnsi="Times New Roman" w:cs="Times New Roman"/>
          <w:sz w:val="28"/>
          <w:szCs w:val="28"/>
        </w:rPr>
        <w:t>в единый день голосования 1</w:t>
      </w:r>
      <w:r>
        <w:rPr>
          <w:rFonts w:ascii="Times New Roman" w:hAnsi="Times New Roman" w:cs="Times New Roman"/>
          <w:sz w:val="28"/>
          <w:szCs w:val="28"/>
        </w:rPr>
        <w:t>0 </w:t>
      </w:r>
      <w:r w:rsidRPr="00521EAF">
        <w:rPr>
          <w:rFonts w:ascii="Times New Roman" w:hAnsi="Times New Roman" w:cs="Times New Roman"/>
          <w:sz w:val="28"/>
          <w:szCs w:val="28"/>
        </w:rPr>
        <w:t>сентября 202</w:t>
      </w:r>
      <w:r>
        <w:rPr>
          <w:rFonts w:ascii="Times New Roman" w:hAnsi="Times New Roman" w:cs="Times New Roman"/>
          <w:sz w:val="28"/>
          <w:szCs w:val="28"/>
        </w:rPr>
        <w:t>3 </w:t>
      </w:r>
      <w:r w:rsidRPr="00521EAF">
        <w:rPr>
          <w:rFonts w:ascii="Times New Roman" w:hAnsi="Times New Roman" w:cs="Times New Roman"/>
          <w:sz w:val="28"/>
          <w:szCs w:val="28"/>
        </w:rPr>
        <w:t>года, а также формируемых в порядке, установленном пунктом</w:t>
      </w:r>
      <w:r>
        <w:rPr>
          <w:rFonts w:ascii="Times New Roman" w:hAnsi="Times New Roman" w:cs="Times New Roman"/>
          <w:sz w:val="28"/>
          <w:szCs w:val="28"/>
        </w:rPr>
        <w:t> 1.1 статьи </w:t>
      </w:r>
      <w:r w:rsidRPr="00521EAF">
        <w:rPr>
          <w:rFonts w:ascii="Times New Roman" w:hAnsi="Times New Roman" w:cs="Times New Roman"/>
          <w:sz w:val="28"/>
          <w:szCs w:val="28"/>
        </w:rPr>
        <w:t>27 Федерального закона от 12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21EAF">
        <w:rPr>
          <w:rFonts w:ascii="Times New Roman" w:hAnsi="Times New Roman" w:cs="Times New Roman"/>
          <w:sz w:val="28"/>
          <w:szCs w:val="28"/>
        </w:rPr>
        <w:t>июня 2022</w:t>
      </w:r>
      <w:r>
        <w:rPr>
          <w:rFonts w:ascii="Times New Roman" w:hAnsi="Times New Roman" w:cs="Times New Roman"/>
          <w:sz w:val="28"/>
          <w:szCs w:val="28"/>
        </w:rPr>
        <w:t> года № </w:t>
      </w:r>
      <w:r w:rsidRPr="00521EAF">
        <w:rPr>
          <w:rFonts w:ascii="Times New Roman" w:hAnsi="Times New Roman" w:cs="Times New Roman"/>
          <w:sz w:val="28"/>
          <w:szCs w:val="28"/>
        </w:rPr>
        <w:t xml:space="preserve">67-ФЗ «Об основных гарантиях избирательных прав и права на участие в референдуме граждан </w:t>
      </w:r>
    </w:p>
    <w:p w:rsidR="00AD2442" w:rsidRPr="00521EAF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1EAF">
        <w:rPr>
          <w:rFonts w:ascii="Times New Roman" w:hAnsi="Times New Roman" w:cs="Times New Roman"/>
          <w:sz w:val="28"/>
          <w:szCs w:val="28"/>
        </w:rPr>
        <w:t>Российской Федерации»</w:t>
      </w:r>
    </w:p>
    <w:p w:rsidR="00AD2442" w:rsidRDefault="00AD2442" w:rsidP="00AD2442">
      <w:pPr>
        <w:widowControl w:val="0"/>
        <w:autoSpaceDE w:val="0"/>
        <w:autoSpaceDN w:val="0"/>
        <w:ind w:left="4111"/>
        <w:jc w:val="center"/>
        <w:outlineLvl w:val="0"/>
        <w:rPr>
          <w:sz w:val="28"/>
          <w:szCs w:val="28"/>
        </w:rPr>
      </w:pPr>
    </w:p>
    <w:p w:rsidR="00AD2442" w:rsidRDefault="00AD2442" w:rsidP="00AD2442">
      <w:pPr>
        <w:pStyle w:val="ConsPlusNormal"/>
        <w:jc w:val="center"/>
      </w:pP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Избирательная комиссия Ямало-Ненецкого автономного округа объявляет о сборе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по кандидатурам </w:t>
      </w:r>
      <w:r w:rsidRPr="006F58D7">
        <w:rPr>
          <w:rFonts w:ascii="Times New Roman" w:hAnsi="Times New Roman" w:cs="Times New Roman"/>
          <w:sz w:val="28"/>
          <w:szCs w:val="28"/>
        </w:rPr>
        <w:t xml:space="preserve">для дополнительного зачисления в резерв составов участковых избирательных комиссий, сформированных в Ямало-Ненецком автономном округе и участвующих в подготовке и проведении выборов </w:t>
      </w:r>
      <w:r>
        <w:rPr>
          <w:rFonts w:ascii="Times New Roman" w:hAnsi="Times New Roman" w:cs="Times New Roman"/>
          <w:sz w:val="28"/>
          <w:szCs w:val="28"/>
        </w:rPr>
        <w:t xml:space="preserve">Губернатора Тюменской области </w:t>
      </w:r>
      <w:r w:rsidRPr="006F58D7">
        <w:rPr>
          <w:rFonts w:ascii="Times New Roman" w:hAnsi="Times New Roman" w:cs="Times New Roman"/>
          <w:sz w:val="28"/>
          <w:szCs w:val="28"/>
        </w:rPr>
        <w:t>в единый день голосования 1</w:t>
      </w:r>
      <w:r>
        <w:rPr>
          <w:rFonts w:ascii="Times New Roman" w:hAnsi="Times New Roman" w:cs="Times New Roman"/>
          <w:sz w:val="28"/>
          <w:szCs w:val="28"/>
        </w:rPr>
        <w:t>0 сентября 2023 </w:t>
      </w:r>
      <w:r w:rsidRPr="006F58D7">
        <w:rPr>
          <w:rFonts w:ascii="Times New Roman" w:hAnsi="Times New Roman" w:cs="Times New Roman"/>
          <w:sz w:val="28"/>
          <w:szCs w:val="28"/>
        </w:rPr>
        <w:t xml:space="preserve">года, а также формируемых в порядке, установленном </w:t>
      </w:r>
      <w:hyperlink r:id="rId4">
        <w:r>
          <w:rPr>
            <w:rFonts w:ascii="Times New Roman" w:hAnsi="Times New Roman" w:cs="Times New Roman"/>
            <w:sz w:val="28"/>
            <w:szCs w:val="28"/>
          </w:rPr>
          <w:t>пунктом </w:t>
        </w:r>
        <w:r w:rsidRPr="006F58D7">
          <w:rPr>
            <w:rFonts w:ascii="Times New Roman" w:hAnsi="Times New Roman" w:cs="Times New Roman"/>
            <w:sz w:val="28"/>
            <w:szCs w:val="28"/>
          </w:rPr>
          <w:t>1.1 статьи</w:t>
        </w:r>
        <w:r>
          <w:rPr>
            <w:rFonts w:ascii="Times New Roman" w:hAnsi="Times New Roman" w:cs="Times New Roman"/>
            <w:sz w:val="28"/>
            <w:szCs w:val="28"/>
          </w:rPr>
          <w:t> </w:t>
        </w:r>
        <w:r w:rsidRPr="006F58D7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6F58D7">
        <w:rPr>
          <w:rFonts w:ascii="Times New Roman" w:hAnsi="Times New Roman" w:cs="Times New Roman"/>
          <w:sz w:val="28"/>
          <w:szCs w:val="28"/>
        </w:rPr>
        <w:t xml:space="preserve"> Федерально</w:t>
      </w:r>
      <w:r>
        <w:rPr>
          <w:rFonts w:ascii="Times New Roman" w:hAnsi="Times New Roman" w:cs="Times New Roman"/>
          <w:sz w:val="28"/>
          <w:szCs w:val="28"/>
        </w:rPr>
        <w:t>го закона от 12 июня 2002 года № </w:t>
      </w:r>
      <w:r w:rsidRPr="006F58D7">
        <w:rPr>
          <w:rFonts w:ascii="Times New Roman" w:hAnsi="Times New Roman" w:cs="Times New Roman"/>
          <w:sz w:val="28"/>
          <w:szCs w:val="28"/>
        </w:rPr>
        <w:t xml:space="preserve">67-ФЗ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58D7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58D7">
        <w:rPr>
          <w:rFonts w:ascii="Times New Roman" w:hAnsi="Times New Roman" w:cs="Times New Roman"/>
          <w:sz w:val="28"/>
          <w:szCs w:val="28"/>
        </w:rPr>
        <w:t>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Прием предложений и необходимых документов осуществляется </w:t>
      </w:r>
      <w:r w:rsidRPr="00B402CC">
        <w:rPr>
          <w:rFonts w:ascii="Times New Roman" w:hAnsi="Times New Roman" w:cs="Times New Roman"/>
          <w:sz w:val="28"/>
          <w:szCs w:val="28"/>
        </w:rPr>
        <w:t>территориальными избирательными комиссиями</w:t>
      </w:r>
      <w:r w:rsidRPr="006F58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Ямало-Ненецком автономном округе </w:t>
      </w:r>
      <w:r w:rsidRPr="006F58D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7A4278">
        <w:rPr>
          <w:rFonts w:ascii="Times New Roman" w:hAnsi="Times New Roman" w:cs="Times New Roman"/>
          <w:b/>
          <w:sz w:val="28"/>
          <w:szCs w:val="28"/>
        </w:rPr>
        <w:t>с 21 июля по 10 августа 2023 года</w:t>
      </w:r>
      <w:r w:rsidRPr="006F58D7"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Дополнительное зачисление в резерв составов участковых комиссий осуществляется Избирательной комиссией Ямало-Ненецкого автономного округа на основе предложений: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1) политических партий, а также региональных отделений и иных структурных подразделений политических партий в случае, если уставом политической партии им делегировано право самостоятельно принимать участие в решении вопросов, связанных с выборами на соответствующей территории, либо если право вносить предложения по кандидатурам им делегировано полномочным (руководящим) органом политической партии;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2) иных общественных объединений, а также региональных отделений и иных структурных подразделений общественных объединений (если это не противоречит уставу общественного объединения), в том числе общественных объединений инвалидов, созданных в любой организационно-правовой форме в соответствии с федеральным законодательством, регулирующим деятельность общественных объединений;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3) собраний избирателей по месту жительства, работы, службы, учебы (</w:t>
      </w:r>
      <w:hyperlink r:id="rId5">
        <w:r w:rsidRPr="006F58D7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6F58D7">
        <w:rPr>
          <w:rFonts w:ascii="Times New Roman" w:hAnsi="Times New Roman" w:cs="Times New Roman"/>
          <w:sz w:val="28"/>
          <w:szCs w:val="28"/>
        </w:rPr>
        <w:t xml:space="preserve"> протокола собрания изби</w:t>
      </w:r>
      <w:r>
        <w:rPr>
          <w:rFonts w:ascii="Times New Roman" w:hAnsi="Times New Roman" w:cs="Times New Roman"/>
          <w:sz w:val="28"/>
          <w:szCs w:val="28"/>
        </w:rPr>
        <w:t>рателей приведена в приложении № </w:t>
      </w:r>
      <w:r w:rsidRPr="006F58D7">
        <w:rPr>
          <w:rFonts w:ascii="Times New Roman" w:hAnsi="Times New Roman" w:cs="Times New Roman"/>
          <w:sz w:val="28"/>
          <w:szCs w:val="28"/>
        </w:rPr>
        <w:t>3 к Порядку формирования резерва составов участковых комиссий и назначения нового члена участковой комиссии из резерва составов уч</w:t>
      </w:r>
      <w:r>
        <w:rPr>
          <w:rFonts w:ascii="Times New Roman" w:hAnsi="Times New Roman" w:cs="Times New Roman"/>
          <w:sz w:val="28"/>
          <w:szCs w:val="28"/>
        </w:rPr>
        <w:t>астковых комиссий, утвержденному</w:t>
      </w:r>
      <w:r w:rsidRPr="006F58D7">
        <w:rPr>
          <w:rFonts w:ascii="Times New Roman" w:hAnsi="Times New Roman" w:cs="Times New Roman"/>
          <w:sz w:val="28"/>
          <w:szCs w:val="28"/>
        </w:rPr>
        <w:t xml:space="preserve"> постановлением ЦИК</w:t>
      </w:r>
      <w:r>
        <w:rPr>
          <w:rFonts w:ascii="Times New Roman" w:hAnsi="Times New Roman" w:cs="Times New Roman"/>
          <w:sz w:val="28"/>
          <w:szCs w:val="28"/>
        </w:rPr>
        <w:t xml:space="preserve"> России от 05 декабря 2012 года № </w:t>
      </w:r>
      <w:r w:rsidRPr="006F58D7">
        <w:rPr>
          <w:rFonts w:ascii="Times New Roman" w:hAnsi="Times New Roman" w:cs="Times New Roman"/>
          <w:sz w:val="28"/>
          <w:szCs w:val="28"/>
        </w:rPr>
        <w:t>152/1137-6);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lastRenderedPageBreak/>
        <w:t>4) представительных органов муниципальных образований.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В резерв составов участковых избирательных комиссий не могут быть зачислены: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1) лица, не имеющие гражданства Российской Федерации, а также граждане Российской Федерации, имеющие гражданство </w:t>
      </w:r>
      <w:r>
        <w:rPr>
          <w:rFonts w:ascii="Times New Roman" w:hAnsi="Times New Roman" w:cs="Times New Roman"/>
          <w:sz w:val="28"/>
          <w:szCs w:val="28"/>
        </w:rPr>
        <w:t xml:space="preserve">(подданство) </w:t>
      </w:r>
      <w:r w:rsidRPr="006F58D7">
        <w:rPr>
          <w:rFonts w:ascii="Times New Roman" w:hAnsi="Times New Roman" w:cs="Times New Roman"/>
          <w:sz w:val="28"/>
          <w:szCs w:val="28"/>
        </w:rPr>
        <w:t>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граждане Российской Федерации</w:t>
      </w:r>
      <w:r w:rsidRPr="006F58D7">
        <w:rPr>
          <w:rFonts w:ascii="Times New Roman" w:hAnsi="Times New Roman" w:cs="Times New Roman"/>
          <w:sz w:val="28"/>
          <w:szCs w:val="28"/>
        </w:rPr>
        <w:t>, признанные решением суда, вступившим в законную силу, недееспособными, ограниченно дееспособными;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граждане Российской Федерации</w:t>
      </w:r>
      <w:r w:rsidRPr="006F58D7">
        <w:rPr>
          <w:rFonts w:ascii="Times New Roman" w:hAnsi="Times New Roman" w:cs="Times New Roman"/>
          <w:sz w:val="28"/>
          <w:szCs w:val="28"/>
        </w:rPr>
        <w:t>, не достигшие возраста 18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лет;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4) депутаты законодательных (представительных) органов государственной власти, органов местного самоуправления;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5) выборные должностные лица, а также главы местных администраций;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6) судьи (за исключением судей, находящихся в отставке), прокуроры;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7) 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установлено отсутствие вины за допущенные комиссией нарушения),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58D7">
        <w:rPr>
          <w:rFonts w:ascii="Times New Roman" w:hAnsi="Times New Roman" w:cs="Times New Roman"/>
          <w:sz w:val="28"/>
          <w:szCs w:val="28"/>
        </w:rPr>
        <w:t xml:space="preserve"> в течение пяти лет со дня вступления в законную силу соответствующего решения суда;</w:t>
      </w:r>
    </w:p>
    <w:p w:rsidR="00AD2442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 xml:space="preserve">8) 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58D7">
        <w:rPr>
          <w:rFonts w:ascii="Times New Roman" w:hAnsi="Times New Roman" w:cs="Times New Roman"/>
          <w:sz w:val="28"/>
          <w:szCs w:val="28"/>
        </w:rPr>
        <w:t xml:space="preserve"> до окончания срока, в течение которого лицо считается подвергнутым административному наказанию;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лица, включенные в реестр иностранных агентов;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F58D7">
        <w:rPr>
          <w:rFonts w:ascii="Times New Roman" w:hAnsi="Times New Roman" w:cs="Times New Roman"/>
          <w:sz w:val="28"/>
          <w:szCs w:val="28"/>
        </w:rPr>
        <w:t>) лица, в отношении которых отсутствуют документы, необходимые для зачисления в резерв составов участковых избирательных комиссий.</w:t>
      </w:r>
    </w:p>
    <w:p w:rsidR="00AD2442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Перечень документов, необходимых при внесении предложений</w:t>
      </w:r>
    </w:p>
    <w:p w:rsidR="00AD2442" w:rsidRPr="006F58D7" w:rsidRDefault="00AD2442" w:rsidP="00AD244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по кандидатурам для дополнительного зачисления в резерв</w:t>
      </w:r>
    </w:p>
    <w:p w:rsidR="00AD2442" w:rsidRPr="006F58D7" w:rsidRDefault="00AD2442" w:rsidP="00AD244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составов участковых избирательных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442" w:rsidRPr="006F58D7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Для политических партий, их региональных отделений,</w:t>
      </w:r>
    </w:p>
    <w:p w:rsidR="00AD2442" w:rsidRPr="006F58D7" w:rsidRDefault="00AD2442" w:rsidP="00AD244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иных структурных подразделений</w:t>
      </w:r>
    </w:p>
    <w:p w:rsidR="00AD2442" w:rsidRPr="006F58D7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избирательных комиссий, оформленное в соответствии с требованиями устава политической партии.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6F58D7">
        <w:rPr>
          <w:rFonts w:ascii="Times New Roman" w:hAnsi="Times New Roman" w:cs="Times New Roman"/>
          <w:sz w:val="28"/>
          <w:szCs w:val="28"/>
        </w:rP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58D7">
        <w:rPr>
          <w:rFonts w:ascii="Times New Roman" w:hAnsi="Times New Roman" w:cs="Times New Roman"/>
          <w:sz w:val="28"/>
          <w:szCs w:val="28"/>
        </w:rPr>
        <w:t xml:space="preserve">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избирательных комиссий о делегировании указанных полномочий, оформленное в соответствии с требованиями устава.</w:t>
      </w:r>
    </w:p>
    <w:p w:rsidR="00AD2442" w:rsidRPr="006F58D7" w:rsidRDefault="00AD2442" w:rsidP="00AD2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Для иных общественных объединений</w:t>
      </w:r>
    </w:p>
    <w:p w:rsidR="00AD2442" w:rsidRPr="006F58D7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8"/>
      <w:bookmarkEnd w:id="0"/>
      <w:r w:rsidRPr="006F58D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88">
        <w:r w:rsidRPr="006F58D7">
          <w:rPr>
            <w:rFonts w:ascii="Times New Roman" w:hAnsi="Times New Roman" w:cs="Times New Roman"/>
            <w:sz w:val="28"/>
            <w:szCs w:val="28"/>
          </w:rPr>
          <w:t>пункте</w:t>
        </w:r>
        <w:r>
          <w:rPr>
            <w:rFonts w:ascii="Times New Roman" w:hAnsi="Times New Roman" w:cs="Times New Roman"/>
            <w:sz w:val="28"/>
            <w:szCs w:val="28"/>
          </w:rPr>
          <w:t> </w:t>
        </w:r>
        <w:r w:rsidRPr="006F58D7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8D7">
        <w:rPr>
          <w:rFonts w:ascii="Times New Roman" w:hAnsi="Times New Roman" w:cs="Times New Roman"/>
          <w:sz w:val="28"/>
          <w:szCs w:val="28"/>
        </w:rPr>
        <w:t xml:space="preserve"> вопрос не урегулирован,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58D7">
        <w:rPr>
          <w:rFonts w:ascii="Times New Roman" w:hAnsi="Times New Roman" w:cs="Times New Roman"/>
          <w:sz w:val="28"/>
          <w:szCs w:val="28"/>
        </w:rPr>
        <w:t xml:space="preserve">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избирательных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избирательных комиссий.</w:t>
      </w:r>
    </w:p>
    <w:p w:rsidR="00AD2442" w:rsidRDefault="00AD2442" w:rsidP="00AD2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</w:t>
      </w:r>
    </w:p>
    <w:p w:rsidR="00AD2442" w:rsidRPr="006F58D7" w:rsidRDefault="00AD2442" w:rsidP="00AD244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составов участковых избирательных комиссий</w:t>
      </w:r>
    </w:p>
    <w:p w:rsidR="00AD2442" w:rsidRPr="006F58D7" w:rsidRDefault="00AD2442" w:rsidP="00AD24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избирательных комиссий.</w:t>
      </w:r>
    </w:p>
    <w:p w:rsidR="00AD2442" w:rsidRPr="006F58D7" w:rsidRDefault="00AD2442" w:rsidP="00AD24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D7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58D7">
        <w:rPr>
          <w:rFonts w:ascii="Times New Roman" w:hAnsi="Times New Roman" w:cs="Times New Roman"/>
          <w:sz w:val="28"/>
          <w:szCs w:val="28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избирательных комиссий.</w:t>
      </w:r>
    </w:p>
    <w:p w:rsidR="00AD2442" w:rsidRPr="006F58D7" w:rsidRDefault="00AD2442" w:rsidP="00AD24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2442" w:rsidRPr="00100359" w:rsidRDefault="00AD2442" w:rsidP="00AD2442">
      <w:pPr>
        <w:widowControl w:val="0"/>
        <w:autoSpaceDE w:val="0"/>
        <w:autoSpaceDN w:val="0"/>
        <w:ind w:firstLine="709"/>
        <w:jc w:val="both"/>
      </w:pPr>
      <w:r w:rsidRPr="00167555">
        <w:rPr>
          <w:sz w:val="28"/>
          <w:szCs w:val="28"/>
        </w:rPr>
        <w:t xml:space="preserve">Прием документов по кандидатурам для дополнительного зачисления в резерв составов участковых избирательных комиссий </w:t>
      </w:r>
      <w:r>
        <w:rPr>
          <w:sz w:val="28"/>
          <w:szCs w:val="28"/>
        </w:rPr>
        <w:t xml:space="preserve">избирательных участков №№ 1001-1014 </w:t>
      </w:r>
      <w:r w:rsidRPr="00167555">
        <w:rPr>
          <w:sz w:val="28"/>
          <w:szCs w:val="28"/>
        </w:rPr>
        <w:t xml:space="preserve">осуществляется Территориальной избирательной комиссией города Салехарда по адресу: 629007, г. Салехард, ул. Свердлова, д. 48, </w:t>
      </w:r>
      <w:proofErr w:type="spellStart"/>
      <w:r w:rsidRPr="00167555">
        <w:rPr>
          <w:sz w:val="28"/>
          <w:szCs w:val="28"/>
        </w:rPr>
        <w:t>каб</w:t>
      </w:r>
      <w:proofErr w:type="spellEnd"/>
      <w:r w:rsidRPr="00167555">
        <w:rPr>
          <w:sz w:val="28"/>
          <w:szCs w:val="28"/>
        </w:rPr>
        <w:t>. 206 (здание Администрации города Салехарда)</w:t>
      </w:r>
      <w:r>
        <w:rPr>
          <w:sz w:val="28"/>
          <w:szCs w:val="28"/>
        </w:rPr>
        <w:t xml:space="preserve"> </w:t>
      </w:r>
      <w:r w:rsidRPr="00135CC0">
        <w:rPr>
          <w:sz w:val="28"/>
          <w:szCs w:val="28"/>
        </w:rPr>
        <w:t xml:space="preserve">в рабочие дни </w:t>
      </w:r>
      <w:r>
        <w:rPr>
          <w:sz w:val="28"/>
          <w:szCs w:val="28"/>
        </w:rPr>
        <w:t xml:space="preserve">              </w:t>
      </w:r>
      <w:r w:rsidRPr="00135CC0">
        <w:rPr>
          <w:sz w:val="28"/>
          <w:szCs w:val="28"/>
        </w:rPr>
        <w:t xml:space="preserve">с 9-00 до 12-00 и с 14-00 до 17-00 часов, в выходные и праздничные дни </w:t>
      </w:r>
      <w:r>
        <w:rPr>
          <w:sz w:val="28"/>
          <w:szCs w:val="28"/>
        </w:rPr>
        <w:t xml:space="preserve">         </w:t>
      </w:r>
      <w:r w:rsidRPr="00135CC0">
        <w:rPr>
          <w:sz w:val="28"/>
          <w:szCs w:val="28"/>
        </w:rPr>
        <w:t>с 11-00 до 14-00 часов по местному времени.</w:t>
      </w:r>
    </w:p>
    <w:p w:rsidR="00AD2442" w:rsidRPr="00566E3C" w:rsidRDefault="00AD2442" w:rsidP="00AD2442">
      <w:pPr>
        <w:pStyle w:val="a3"/>
        <w:ind w:left="709" w:firstLine="0"/>
        <w:rPr>
          <w:sz w:val="28"/>
        </w:rPr>
      </w:pPr>
      <w:r w:rsidRPr="00167555">
        <w:rPr>
          <w:sz w:val="28"/>
          <w:szCs w:val="28"/>
        </w:rPr>
        <w:t>Телефон для справок: (34922) 2-53-80.</w:t>
      </w:r>
    </w:p>
    <w:p w:rsidR="00DB160C" w:rsidRPr="00924ECD" w:rsidRDefault="00DB160C">
      <w:pPr>
        <w:rPr>
          <w:rFonts w:ascii="PT Astra Serif" w:hAnsi="PT Astra Serif"/>
          <w:sz w:val="28"/>
          <w:szCs w:val="28"/>
        </w:rPr>
      </w:pPr>
    </w:p>
    <w:sectPr w:rsidR="00DB160C" w:rsidRPr="00924ECD" w:rsidSect="003E78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/>
  <w:rsids>
    <w:rsidRoot w:val="00AD2442"/>
    <w:rsid w:val="000F16AE"/>
    <w:rsid w:val="00717E7C"/>
    <w:rsid w:val="00924ECD"/>
    <w:rsid w:val="00AD2442"/>
    <w:rsid w:val="00DB160C"/>
    <w:rsid w:val="00FB5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2442"/>
    <w:pPr>
      <w:ind w:firstLine="426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AD24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D24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D244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F382FF8575369AE0FD6A51E9E302A3D40E236B60409A6496CD5B05DD1DE15226F9A846018BF4D6D2177561EE4841585F0C000678A20D2A6h4m1N" TargetMode="External"/><Relationship Id="rId4" Type="http://schemas.openxmlformats.org/officeDocument/2006/relationships/hyperlink" Target="consultantplus://offline/ref=8F382FF8575369AE0FD6A51E9E302A3D47E432BA0406A6496CD5B05DD1DE15226F9A846018BD45662977561EE4841585F0C000678A20D2A6h4m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1253</Words>
  <Characters>7144</Characters>
  <Application>Microsoft Office Word</Application>
  <DocSecurity>0</DocSecurity>
  <Lines>59</Lines>
  <Paragraphs>16</Paragraphs>
  <ScaleCrop>false</ScaleCrop>
  <Company>ITU</Company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Кунгурцева</cp:lastModifiedBy>
  <cp:revision>2</cp:revision>
  <dcterms:created xsi:type="dcterms:W3CDTF">2023-07-16T06:25:00Z</dcterms:created>
  <dcterms:modified xsi:type="dcterms:W3CDTF">2023-07-16T06:26:00Z</dcterms:modified>
</cp:coreProperties>
</file>